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44" w:rsidRPr="00A81944" w:rsidRDefault="00A81944" w:rsidP="00A81944">
      <w:pPr>
        <w:widowControl/>
        <w:shd w:val="clear" w:color="auto" w:fill="FFFFFF"/>
        <w:spacing w:after="187"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54"/>
          <w:szCs w:val="54"/>
        </w:rPr>
        <w:t>2017年安徽省阜阳市职业院校技能大赛中职组会计技能赛项规程</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t>一、赛项名称</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会计技能</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t>二、竞赛目的</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中职会计专业技能比赛依据教育部新颁布的《中等职业学校会计专业教学标准》中的专业核心知识和技能，适应现代职教体系对中职基础性职业教育的属性定位，对接小企业出纳、会计、代理记账员等主要工作岗位，重点检验本专业学生对小企业会计准则、会计基础工作规范等会计相关法规制度知识的理解和应用；对点钞、翻打传票（含数字输入）等会计基本技能的运用和财经法规、会计职业道德等职业素养考核；对从事小企业出纳、会计记账、报税工作及会计电算化软件操作的工作能力。从而推动《中等职业学校会计专业教学标准》在中职会计专业教学中的普遍应用，引导中职学校会计专业基于工作过程，注重职业判断、强化理实一体的教学改革，提升中职会计专业信息化教学水平，提高中职学校会计专业人才培养质量。</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t>三、竞赛内容</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（一）竞赛内容</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赛项内容框架如下（分两个部分三个模块）：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第一部分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模块 1：会计电算化软件操作选手同时参赛，独立完成</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第二部分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选手赛前指定岗位，同时完成指定的技能和职业素养赛项</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模块 2：会计手工账核算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出纳会计、会计主管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模块 3：会计技能和职业素养</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点钞、传票翻打、会计职业素养</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测试</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（二）比赛内容涵盖中职会计专业核心专业技能的原则</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《中等职业学校会计专业教学标准》对本专业学生的知识技能要求主要包括：</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熟悉与会计职业相关的财经税收法律法规、小企业会计准则以及会计基础工作规范等知识；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掌握会计基本核算方法、核算程序、会计政策等知识；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掌握点钞、字录、小键盘输入、会计数字书写、发票开具等会计基本技能；能够从事小企业出纳工作；能够从事小企业会计业务核算工作。能够从事小企业会计电算化核算工作；能够从事小企业税务核算与申报工作。</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中职会计手工账核算比赛赛项内容基本能够覆盖上述知识能力要求。</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对应职业岗位：出纳会计、会计主管。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（三）手工账核算和会计电算化比赛业务范围</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1.货币资金：库存现金、银行存款、其他货币资金等。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2.应收款项：应收票据、应收利息、应收账款、预付账款、其他应收款等。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3.存货（实际成本计价）：原材料、在途物资、周转材料、库存商品、委托加工物资、存货清查等。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4.固定资产：固定资产增加、固定资产减少、固定资产折旧、固定资产清查等。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5.流动负债：短期借款、应付票据、应付账款、预收账款、应付职工薪酬、应交税费、其他应付款等。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6.所有者权益：实收资本、资本公积、盈余公积、本年利润、利润分配等。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7.成本：要素费用、制造费用、完工产品与在产品成本分配、产品成本核算品种法等。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8.收入和利润：主营业务收入和成本、其他业务收入和成本、期间费用、营业利润、营业外收入和支出、营业税金及附加、所得税费用等。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9.财务报表：资产负债表的编制、利润表的编制等。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10．增值税纳税申报：填制增值税纳税申报表等。</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11. 财经法规与会计职业道德等职业素养。</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t>四、竞赛内容简介</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会计赛项比赛包括三个模块内容：1、会计电算化软件操作；2、会计手工账核算；3、会计技能及职业素养（点钞、传票翻打和会计职业素养答题）。</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（一）会计电算化软件操作项目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以某一商贸流通业企业会计主体为背景，要求学生在2小时内，根据给定资料进行会计电算化初始设置、购销存业务处理、自动转账凭证生成、以及会计报表设置等会计电算化软件专项技能操作。比赛成绩由平台自动生成。</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（二）会计手工账核算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以某一小型工业企业（一般纳税人）会计主体为背景，以一个月 40-50笔经济业务活动为主线，按照</w:t>
      </w:r>
      <w:r w:rsidRPr="00A81944">
        <w:rPr>
          <w:rFonts w:ascii="宋体" w:eastAsia="宋体" w:hAnsi="宋体" w:cs="Tahoma" w:hint="eastAsia"/>
          <w:color w:val="333333"/>
          <w:kern w:val="0"/>
          <w:sz w:val="36"/>
          <w:szCs w:val="36"/>
        </w:rPr>
        <w:lastRenderedPageBreak/>
        <w:t>“出纳、会计、会计主管”三种角色规划各自工作职责与任务，以小企业会计准则为依据，运用会计手工核算软件平台，由3名参赛选手分工协作，在3小时比赛时间内完成从原始凭证到记账凭证、会计账簿、纳税申报（增值税），直至编制会计报表（资产负债表和利润表）的会计事务全过程的处理，赛题内容适当融入财经法规与会计职业道德等职业素养方面知识。比赛成绩由平台自动生成。</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（三）会计技能和职业素养</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（1）点钞项目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通过给定一定数量、不同面额的整把练功券，由裁判人员先预设各把张数，作为标答存入比赛专用平台。学生不限手法，在10分钟内对给定钞票进行规范清点，并将清点结果输入比赛专用平台，由平台自动评分。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（2）传票翻打项目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借助专用比赛平台，要求学生进行 10 分钟传票翻打。比赛成绩由平台自动生成。</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（3）职业素养测试项目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在 10 分钟内完成 20～30 道客观知识题目答题，主要考核学生财经法规与会计职业道德等相关会计知识及职业素养方面内容。</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lastRenderedPageBreak/>
        <w:t>五、比赛时间总计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330分钟，赛程分为两个部分三个模块进行。</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(一)第一部分：会计电算化软件操作模块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时间120分钟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（1）三名选手同时参加会计电算化软件操作比赛</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（2）比赛开始前，参赛选手抽签决定操作台位。</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（3）选手在裁判人员指导下进行相关设置。待比赛命令发布后，方可开始答题，比赛平台自动倒计时。</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（4)比赛开始后30分钟内选手不得交卷。比赛只允许交卷一次，不能重复交卷，不能随意点击交卷退场按钮。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（5）依据小企业会计准则、现行税法和财政部会计基础工作规范和企业会计制度处理经济业务。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（6）按照比赛系统操作要求，完成给定的软件操作任务。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（7）比赛自动计时结束时，选手应将资料和工具整齐摆放在桌子上，经裁判人员确认后方可离开赛场，离开时不得带走任何资料。</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（8）系统自动生成选手赛项成绩，并按一定比例计入各队比赛总成绩。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（二）第二部分：会计技能、职业素养答题和会计手工账核算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时间：210分钟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color w:val="333333"/>
          <w:kern w:val="0"/>
          <w:sz w:val="36"/>
          <w:szCs w:val="36"/>
        </w:rPr>
        <w:t>1、基本要求</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竞赛现场按各参赛代表队设置竞赛台位，每一台位按出纳、会计、会计主管三个岗位标注操作位置，出纳、会计、会计主管分别兼任现金盘点、传票翻打和会计职业素养答题角色。各参赛队入场时，在裁判人员组织下抽签确定竞赛台位号，并按指定的位置就坐。赛场统一配备电脑和比赛需要的用品用具，并按照每2队配备1名裁判工作人员。</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2、会计技能和职业素养答题模块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时间：30分钟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（1）点钞</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比赛时间：10分钟。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参加现金盘点比赛的选手必须是各参赛队中的“出纳”角色学生。每位选手工作桌面摆放一专用练功券钱箱，内有一定数量100元人民币面额的散把练功券、扎条和印章。采用单指单张和多指多张形式，时间各10分钟。选手抽签决定操作台位。</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比赛中选手一律采用坐姿形式进行点钞；按主裁判的“准备”提示进入系统的计时界面，进行相关设置，并作起点准备；按主裁判的“开始”口令开始比赛，系统开始自动计时；选手按预置练功钞券编号顺</w:t>
      </w:r>
      <w:r w:rsidRPr="00A81944">
        <w:rPr>
          <w:rFonts w:ascii="宋体" w:eastAsia="宋体" w:hAnsi="宋体" w:cs="Tahoma" w:hint="eastAsia"/>
          <w:color w:val="333333"/>
          <w:kern w:val="0"/>
          <w:sz w:val="36"/>
          <w:szCs w:val="36"/>
        </w:rPr>
        <w:lastRenderedPageBreak/>
        <w:t>序逐把点验，按规范要求捆扎、盖章，并放回到练功券箱初始位置。</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（2）传票翻打</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比赛时间：10分钟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参加传票翻打比赛的选手必须是各参赛队中的“会计”角色学生。使用组委会统一提供的单证本及输入设备。比赛前选手按主裁判的提示要求检查、整理单证本，根据要求选择比赛内容。</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按主裁判的“准备”提示进入系统的界面，并进行相关设置。按主裁判的“开始”口令开始比赛，系统自动计时。选手根据单证本按主裁判要求逐一录入相关传票和单证，每录完一张提交确认。系统计时时间到，录入屏锁定，选手不能录入。系统自动生成选手赛项成绩，并按一定比例计入各队比赛总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（3）会计职业素养测试</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比赛时间：10分钟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参加会计职业素养比赛的选手必须是各参赛队中的“会计主管”角色学生，采用纸质试题比赛，选手根据裁判提示开始答题，在10分钟内完成20～30道会计职业素养客观题的答题。并按权重计入各队比赛总成绩。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3、会计手工账核算模块</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时间：180分钟</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参赛选手利用大赛专用会计手工核算软件平台，依据给定的经济业务，按照角色工作职责要求和会计工作流程，运用小企业会计准则、现行税法、会计基础工作规范和企业内部会计制度和管理要求，在相关实训软件平台上完成各自的经济业务处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其中：出纳：办理现金、银行存款结算业务、日记账登记以及现金、银行存款清查等业务；</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会计：填制全部经济业务记账凭证、登记相关总分类账与明细分类账账簿；</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会计主管：审核会计事项，办理企业增值税纳税申报业务、编制资产负债表与利润表。</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比赛过程中，由专用软件平台控制不同角色之间分工与协作的工作节点，参赛选手比赛过程中允许相互交流，但不得代替选手完成规定的工作任务。系统自动评判每位选手比赛成绩和全队项目总成绩。评分标准制定原则、评分方法、评分细则</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（一）评分原则及指标分配</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中职会计技能比赛全部采用结果客观评分办法，由竞赛平台自动评定各比赛项目选手成绩，并按一定比例自动计入各队比赛总成绩，最终以各队获得的团体总分作为评定奖项的依据。</w:t>
      </w:r>
    </w:p>
    <w:tbl>
      <w:tblPr>
        <w:tblW w:w="0" w:type="auto"/>
        <w:shd w:val="clear" w:color="auto" w:fill="FFFFFF"/>
        <w:tblCellMar>
          <w:left w:w="0" w:type="dxa"/>
          <w:right w:w="0" w:type="dxa"/>
        </w:tblCellMar>
        <w:tblLook w:val="04A0"/>
      </w:tblPr>
      <w:tblGrid>
        <w:gridCol w:w="2835"/>
        <w:gridCol w:w="2805"/>
        <w:gridCol w:w="2880"/>
      </w:tblGrid>
      <w:tr w:rsidR="00A81944" w:rsidRPr="00A81944" w:rsidTr="00A81944">
        <w:tc>
          <w:tcPr>
            <w:tcW w:w="2835"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序号</w:t>
            </w:r>
          </w:p>
        </w:tc>
        <w:tc>
          <w:tcPr>
            <w:tcW w:w="2790"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竞赛内容</w:t>
            </w:r>
          </w:p>
        </w:tc>
        <w:tc>
          <w:tcPr>
            <w:tcW w:w="2880"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分值比例</w:t>
            </w:r>
          </w:p>
        </w:tc>
      </w:tr>
      <w:tr w:rsidR="00A81944" w:rsidRPr="00A81944" w:rsidTr="00A81944">
        <w:tc>
          <w:tcPr>
            <w:tcW w:w="2835"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1</w:t>
            </w:r>
          </w:p>
        </w:tc>
        <w:tc>
          <w:tcPr>
            <w:tcW w:w="279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会计电算化软件操作</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30%</w:t>
            </w:r>
          </w:p>
        </w:tc>
      </w:tr>
      <w:tr w:rsidR="00A81944" w:rsidRPr="00A81944" w:rsidTr="00A81944">
        <w:tc>
          <w:tcPr>
            <w:tcW w:w="2835"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2</w:t>
            </w:r>
          </w:p>
        </w:tc>
        <w:tc>
          <w:tcPr>
            <w:tcW w:w="279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现金盘点</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8%</w:t>
            </w:r>
          </w:p>
        </w:tc>
      </w:tr>
      <w:tr w:rsidR="00A81944" w:rsidRPr="00A81944" w:rsidTr="00A81944">
        <w:tc>
          <w:tcPr>
            <w:tcW w:w="2835"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3</w:t>
            </w:r>
          </w:p>
        </w:tc>
        <w:tc>
          <w:tcPr>
            <w:tcW w:w="279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传票翻打</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8%</w:t>
            </w:r>
          </w:p>
        </w:tc>
      </w:tr>
      <w:tr w:rsidR="00A81944" w:rsidRPr="00A81944" w:rsidTr="00A81944">
        <w:tc>
          <w:tcPr>
            <w:tcW w:w="2835"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4</w:t>
            </w:r>
          </w:p>
        </w:tc>
        <w:tc>
          <w:tcPr>
            <w:tcW w:w="279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会计职业素养测试</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8%</w:t>
            </w:r>
          </w:p>
        </w:tc>
      </w:tr>
      <w:tr w:rsidR="00A81944" w:rsidRPr="00A81944" w:rsidTr="00A81944">
        <w:tc>
          <w:tcPr>
            <w:tcW w:w="2835"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5</w:t>
            </w:r>
          </w:p>
        </w:tc>
        <w:tc>
          <w:tcPr>
            <w:tcW w:w="279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会计手工账核算</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46%</w:t>
            </w:r>
          </w:p>
        </w:tc>
      </w:tr>
      <w:tr w:rsidR="00A81944" w:rsidRPr="00A81944" w:rsidTr="00A81944">
        <w:tc>
          <w:tcPr>
            <w:tcW w:w="5640" w:type="dxa"/>
            <w:gridSpan w:val="2"/>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总分</w:t>
            </w:r>
          </w:p>
        </w:tc>
        <w:tc>
          <w:tcPr>
            <w:tcW w:w="288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仿宋" w:eastAsia="仿宋" w:hAnsi="仿宋" w:cs="Tahoma" w:hint="eastAsia"/>
                <w:color w:val="333333"/>
                <w:kern w:val="0"/>
                <w:sz w:val="36"/>
                <w:szCs w:val="36"/>
              </w:rPr>
              <w:t>100分</w:t>
            </w:r>
          </w:p>
        </w:tc>
      </w:tr>
    </w:tbl>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（二）比赛评分标准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1.会计电算化操作评分标准（占总成绩30%）</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会计电算化操作评分标准表</w:t>
      </w:r>
    </w:p>
    <w:tbl>
      <w:tblPr>
        <w:tblW w:w="0" w:type="auto"/>
        <w:shd w:val="clear" w:color="auto" w:fill="FFFFFF"/>
        <w:tblCellMar>
          <w:left w:w="0" w:type="dxa"/>
          <w:right w:w="0" w:type="dxa"/>
        </w:tblCellMar>
        <w:tblLook w:val="04A0"/>
      </w:tblPr>
      <w:tblGrid>
        <w:gridCol w:w="1380"/>
        <w:gridCol w:w="1500"/>
        <w:gridCol w:w="4170"/>
        <w:gridCol w:w="1425"/>
      </w:tblGrid>
      <w:tr w:rsidR="00A81944" w:rsidRPr="00A81944" w:rsidTr="00A81944">
        <w:tc>
          <w:tcPr>
            <w:tcW w:w="1380"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竞赛内容</w:t>
            </w:r>
          </w:p>
        </w:tc>
        <w:tc>
          <w:tcPr>
            <w:tcW w:w="1500"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技术要求</w:t>
            </w:r>
          </w:p>
        </w:tc>
        <w:tc>
          <w:tcPr>
            <w:tcW w:w="3405"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评分规则</w:t>
            </w:r>
          </w:p>
        </w:tc>
        <w:tc>
          <w:tcPr>
            <w:tcW w:w="1425"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参考分值</w:t>
            </w:r>
          </w:p>
        </w:tc>
      </w:tr>
      <w:tr w:rsidR="00A81944" w:rsidRPr="00A81944" w:rsidTr="00A81944">
        <w:tc>
          <w:tcPr>
            <w:tcW w:w="138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初始设置</w:t>
            </w:r>
          </w:p>
        </w:tc>
        <w:tc>
          <w:tcPr>
            <w:tcW w:w="150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赛前导入初始数据，按照题意进行设置</w:t>
            </w:r>
          </w:p>
        </w:tc>
        <w:tc>
          <w:tcPr>
            <w:tcW w:w="340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根据初始设置的内容进行</w:t>
            </w:r>
          </w:p>
          <w:p w:rsidR="00A81944" w:rsidRPr="00A81944" w:rsidRDefault="00A81944" w:rsidP="00A81944">
            <w:pPr>
              <w:widowControl/>
              <w:spacing w:line="337" w:lineRule="atLeast"/>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         评分</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30%</w:t>
            </w:r>
          </w:p>
        </w:tc>
      </w:tr>
      <w:tr w:rsidR="00A81944" w:rsidRPr="00A81944" w:rsidTr="00A81944">
        <w:tc>
          <w:tcPr>
            <w:tcW w:w="138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购销业</w:t>
            </w:r>
            <w:r w:rsidRPr="00A81944">
              <w:rPr>
                <w:rFonts w:ascii="宋体" w:eastAsia="宋体" w:hAnsi="宋体" w:cs="Tahoma" w:hint="eastAsia"/>
                <w:color w:val="333333"/>
                <w:kern w:val="0"/>
                <w:sz w:val="36"/>
                <w:szCs w:val="36"/>
              </w:rPr>
              <w:lastRenderedPageBreak/>
              <w:t>务凭证填制</w:t>
            </w:r>
          </w:p>
        </w:tc>
        <w:tc>
          <w:tcPr>
            <w:tcW w:w="150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按照题</w:t>
            </w:r>
            <w:r w:rsidRPr="00A81944">
              <w:rPr>
                <w:rFonts w:ascii="宋体" w:eastAsia="宋体" w:hAnsi="宋体" w:cs="Tahoma" w:hint="eastAsia"/>
                <w:color w:val="333333"/>
                <w:kern w:val="0"/>
                <w:sz w:val="36"/>
                <w:szCs w:val="36"/>
              </w:rPr>
              <w:lastRenderedPageBreak/>
              <w:t>目要求填制、审核或完善原始凭证、编制记账凭证</w:t>
            </w:r>
          </w:p>
        </w:tc>
        <w:tc>
          <w:tcPr>
            <w:tcW w:w="340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根据原始凭证填制和审</w:t>
            </w:r>
            <w:r w:rsidRPr="00A81944">
              <w:rPr>
                <w:rFonts w:ascii="宋体" w:eastAsia="宋体" w:hAnsi="宋体" w:cs="Tahoma" w:hint="eastAsia"/>
                <w:color w:val="333333"/>
                <w:kern w:val="0"/>
                <w:sz w:val="36"/>
                <w:szCs w:val="36"/>
              </w:rPr>
              <w:lastRenderedPageBreak/>
              <w:t>核，记账凭证填制的内容（种类、日期、附件张数、借贷方科目、借贷方金额、辅助核算信息等）进行</w:t>
            </w:r>
          </w:p>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评分</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30%</w:t>
            </w:r>
          </w:p>
        </w:tc>
      </w:tr>
      <w:tr w:rsidR="00A81944" w:rsidRPr="00A81944" w:rsidTr="00A81944">
        <w:tc>
          <w:tcPr>
            <w:tcW w:w="138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自动转账凭证设置</w:t>
            </w:r>
          </w:p>
        </w:tc>
        <w:tc>
          <w:tcPr>
            <w:tcW w:w="150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按题目要求设置自动转账凭证</w:t>
            </w:r>
          </w:p>
        </w:tc>
        <w:tc>
          <w:tcPr>
            <w:tcW w:w="340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根据自动转账凭证种类、借贷方科目等进行评分</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10%</w:t>
            </w:r>
          </w:p>
        </w:tc>
      </w:tr>
      <w:tr w:rsidR="00A81944" w:rsidRPr="00A81944" w:rsidTr="00A81944">
        <w:tc>
          <w:tcPr>
            <w:tcW w:w="138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凭证审核</w:t>
            </w:r>
          </w:p>
        </w:tc>
        <w:tc>
          <w:tcPr>
            <w:tcW w:w="150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按照业务处理要求进行记账凭证审核</w:t>
            </w:r>
          </w:p>
        </w:tc>
        <w:tc>
          <w:tcPr>
            <w:tcW w:w="340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根据凭证审核过程进行</w:t>
            </w:r>
          </w:p>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评分</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10%</w:t>
            </w:r>
          </w:p>
        </w:tc>
      </w:tr>
      <w:tr w:rsidR="00A81944" w:rsidRPr="00A81944" w:rsidTr="00A81944">
        <w:tc>
          <w:tcPr>
            <w:tcW w:w="138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t>记账系统按照业务处</w:t>
            </w:r>
            <w:r w:rsidRPr="00A81944">
              <w:rPr>
                <w:rFonts w:ascii="宋体" w:eastAsia="宋体" w:hAnsi="宋体" w:cs="Tahoma" w:hint="eastAsia"/>
                <w:color w:val="333333"/>
                <w:kern w:val="0"/>
                <w:sz w:val="36"/>
                <w:szCs w:val="36"/>
              </w:rPr>
              <w:lastRenderedPageBreak/>
              <w:t>理要求进行记账</w:t>
            </w:r>
          </w:p>
        </w:tc>
        <w:tc>
          <w:tcPr>
            <w:tcW w:w="1500"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根据记账的过程进行</w:t>
            </w:r>
            <w:r w:rsidRPr="00A81944">
              <w:rPr>
                <w:rFonts w:ascii="宋体" w:eastAsia="宋体" w:hAnsi="宋体" w:cs="Tahoma" w:hint="eastAsia"/>
                <w:color w:val="333333"/>
                <w:kern w:val="0"/>
                <w:sz w:val="36"/>
                <w:szCs w:val="36"/>
              </w:rPr>
              <w:lastRenderedPageBreak/>
              <w:t>评分对账和结账按照业务处理要求进行对账和结账</w:t>
            </w:r>
          </w:p>
        </w:tc>
        <w:tc>
          <w:tcPr>
            <w:tcW w:w="340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根据对账和结账的过程进行评分编制报表编制资产负债表、利润表根据</w:t>
            </w:r>
            <w:r w:rsidRPr="00A81944">
              <w:rPr>
                <w:rFonts w:ascii="宋体" w:eastAsia="宋体" w:hAnsi="宋体" w:cs="Tahoma" w:hint="eastAsia"/>
                <w:color w:val="333333"/>
                <w:kern w:val="0"/>
                <w:sz w:val="36"/>
                <w:szCs w:val="36"/>
              </w:rPr>
              <w:lastRenderedPageBreak/>
              <w:t>报表项目的设置和生成的数据评分</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20%</w:t>
            </w:r>
          </w:p>
        </w:tc>
      </w:tr>
      <w:tr w:rsidR="00A81944" w:rsidRPr="00A81944" w:rsidTr="00A81944">
        <w:tc>
          <w:tcPr>
            <w:tcW w:w="7050" w:type="dxa"/>
            <w:gridSpan w:val="3"/>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合计</w:t>
            </w:r>
          </w:p>
        </w:tc>
        <w:tc>
          <w:tcPr>
            <w:tcW w:w="1425"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hideMark/>
          </w:tcPr>
          <w:p w:rsidR="00A81944" w:rsidRPr="00A81944" w:rsidRDefault="00A81944" w:rsidP="00A81944">
            <w:pPr>
              <w:widowControl/>
              <w:spacing w:line="337" w:lineRule="atLeast"/>
              <w:jc w:val="center"/>
              <w:rPr>
                <w:rFonts w:ascii="Tahoma" w:eastAsia="宋体" w:hAnsi="Tahoma" w:cs="Tahoma"/>
                <w:color w:val="333333"/>
                <w:kern w:val="0"/>
                <w:sz w:val="22"/>
              </w:rPr>
            </w:pPr>
            <w:r w:rsidRPr="00A81944">
              <w:rPr>
                <w:rFonts w:ascii="仿宋" w:eastAsia="仿宋" w:hAnsi="仿宋" w:cs="Tahoma" w:hint="eastAsia"/>
                <w:color w:val="333333"/>
                <w:kern w:val="0"/>
                <w:sz w:val="36"/>
                <w:szCs w:val="36"/>
              </w:rPr>
              <w:t>100分</w:t>
            </w:r>
          </w:p>
        </w:tc>
      </w:tr>
    </w:tbl>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2.点钞评分标准（占总成绩8%）</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（1）采用专用平板机收集比赛选手成绩，并自动计算计入各队比赛总成绩，按百分制计算最终成绩。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（2）选手点对一把计10分，点错或未扎把、未盖章该把不得分。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（3）比赛结束，裁判人员应逐一检查选手每一点验钞票扎把与盖章情况，并当面作好书面记录，明确剔除无效把数，经选手签字确认后调整该选手在系统中已录入的成绩。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3.传票翻打比赛评分标准（占总成绩8%）</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（1）采用专用平板机收集比赛选手成绩，并自动计算计入各队比赛总成绩，按百分制计算最终成绩。</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lastRenderedPageBreak/>
        <w:t>（2）传票翻打每正确1题得10分；单证录入按要求正确填写一张得10分，填错任意一项不得分。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4、会计职业素养答题（占总成绩8%）全部为客观题，每题5分，总共20题，总分100分。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5.会计手工账核算比赛评分标准（占总成绩46%）</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（1）评分指标体系</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会计手工账核算占总成绩46%出纳30%会计40%会计主管30%总计100分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（2）评分细则</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系统根据具体业务内容进行随做随评定的方式，以“是否保存”为打分信号，对原始凭证的选择与填制、记账凭证的选择与填制、相关总账和明细账的登记、纳税申报表编制、会计报表编制等业务办理进行自动评分。</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6、最终成绩计算公式</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最终成绩=会计电算化*30%+点钞*8%+传票翻打*8%+会计职业素养测试*8%+手工账核算*46%</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仿宋" w:eastAsia="仿宋" w:hAnsi="仿宋" w:cs="Tahoma" w:hint="eastAsia"/>
          <w:b/>
          <w:bCs/>
          <w:color w:val="333333"/>
          <w:kern w:val="0"/>
          <w:sz w:val="36"/>
        </w:rPr>
        <w:t>六、技术规范</w:t>
      </w:r>
    </w:p>
    <w:p w:rsidR="00A81944" w:rsidRPr="00A81944" w:rsidRDefault="00A81944" w:rsidP="00A81944">
      <w:pPr>
        <w:widowControl/>
        <w:shd w:val="clear" w:color="auto" w:fill="FFFFFF"/>
        <w:spacing w:line="337" w:lineRule="atLeast"/>
        <w:ind w:firstLine="692"/>
        <w:jc w:val="left"/>
        <w:rPr>
          <w:rFonts w:ascii="Tahoma" w:eastAsia="宋体" w:hAnsi="Tahoma" w:cs="Tahoma"/>
          <w:color w:val="333333"/>
          <w:kern w:val="0"/>
          <w:sz w:val="22"/>
        </w:rPr>
      </w:pPr>
      <w:r w:rsidRPr="00A81944">
        <w:rPr>
          <w:rFonts w:ascii="宋体" w:eastAsia="宋体" w:hAnsi="宋体" w:cs="Tahoma" w:hint="eastAsia"/>
          <w:color w:val="333333"/>
          <w:kern w:val="0"/>
          <w:sz w:val="36"/>
          <w:szCs w:val="36"/>
        </w:rPr>
        <w:t>比赛根据中等职业学校会计专业教学标准人才培养质量要求，以小企业会计准则、现行财政税务政策和会计工作规范要求为依据。手工账核算平台采用福斯特会计综合实训与技能竞赛系统、会计电算化软件</w:t>
      </w:r>
      <w:r w:rsidRPr="00A81944">
        <w:rPr>
          <w:rFonts w:ascii="宋体" w:eastAsia="宋体" w:hAnsi="宋体" w:cs="Tahoma" w:hint="eastAsia"/>
          <w:color w:val="333333"/>
          <w:kern w:val="0"/>
          <w:sz w:val="36"/>
          <w:szCs w:val="36"/>
        </w:rPr>
        <w:lastRenderedPageBreak/>
        <w:t>操作采用畅捷通T3云平台竞赛系统、点钞</w:t>
      </w:r>
      <w:bookmarkStart w:id="0" w:name="_GoBack"/>
      <w:bookmarkEnd w:id="0"/>
      <w:r w:rsidRPr="00A81944">
        <w:rPr>
          <w:rFonts w:ascii="宋体" w:eastAsia="宋体" w:hAnsi="宋体" w:cs="Tahoma" w:hint="eastAsia"/>
          <w:color w:val="333333"/>
          <w:kern w:val="0"/>
          <w:sz w:val="36"/>
          <w:szCs w:val="36"/>
        </w:rPr>
        <w:t>和传票翻打采用爱丁数码翰林提平板机等电子平台</w:t>
      </w:r>
      <w:r w:rsidRPr="00A81944">
        <w:rPr>
          <w:rFonts w:ascii="仿宋" w:eastAsia="仿宋" w:hAnsi="仿宋" w:cs="Tahoma" w:hint="eastAsia"/>
          <w:color w:val="333333"/>
          <w:kern w:val="0"/>
          <w:sz w:val="45"/>
          <w:szCs w:val="45"/>
        </w:rPr>
        <w:t>。</w:t>
      </w:r>
    </w:p>
    <w:p w:rsidR="001D158E" w:rsidRPr="00A81944" w:rsidRDefault="001D158E"/>
    <w:sectPr w:rsidR="001D158E" w:rsidRPr="00A81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8E" w:rsidRDefault="001D158E" w:rsidP="00A81944">
      <w:r>
        <w:separator/>
      </w:r>
    </w:p>
  </w:endnote>
  <w:endnote w:type="continuationSeparator" w:id="1">
    <w:p w:rsidR="001D158E" w:rsidRDefault="001D158E" w:rsidP="00A81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8E" w:rsidRDefault="001D158E" w:rsidP="00A81944">
      <w:r>
        <w:separator/>
      </w:r>
    </w:p>
  </w:footnote>
  <w:footnote w:type="continuationSeparator" w:id="1">
    <w:p w:rsidR="001D158E" w:rsidRDefault="001D158E" w:rsidP="00A81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944"/>
    <w:rsid w:val="001D158E"/>
    <w:rsid w:val="00A81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1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944"/>
    <w:rPr>
      <w:sz w:val="18"/>
      <w:szCs w:val="18"/>
    </w:rPr>
  </w:style>
  <w:style w:type="paragraph" w:styleId="a4">
    <w:name w:val="footer"/>
    <w:basedOn w:val="a"/>
    <w:link w:val="Char0"/>
    <w:uiPriority w:val="99"/>
    <w:semiHidden/>
    <w:unhideWhenUsed/>
    <w:rsid w:val="00A819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1944"/>
    <w:rPr>
      <w:sz w:val="18"/>
      <w:szCs w:val="18"/>
    </w:rPr>
  </w:style>
  <w:style w:type="paragraph" w:styleId="a5">
    <w:name w:val="Normal (Web)"/>
    <w:basedOn w:val="a"/>
    <w:uiPriority w:val="99"/>
    <w:unhideWhenUsed/>
    <w:rsid w:val="00A819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1944"/>
    <w:rPr>
      <w:b/>
      <w:bCs/>
    </w:rPr>
  </w:style>
</w:styles>
</file>

<file path=word/webSettings.xml><?xml version="1.0" encoding="utf-8"?>
<w:webSettings xmlns:r="http://schemas.openxmlformats.org/officeDocument/2006/relationships" xmlns:w="http://schemas.openxmlformats.org/wordprocessingml/2006/main">
  <w:divs>
    <w:div w:id="8925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4036</Characters>
  <Application>Microsoft Office Word</Application>
  <DocSecurity>0</DocSecurity>
  <Lines>33</Lines>
  <Paragraphs>9</Paragraphs>
  <ScaleCrop>false</ScaleCrop>
  <Company>微软中国</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徐林</dc:creator>
  <cp:keywords/>
  <dc:description/>
  <cp:lastModifiedBy>徐林</cp:lastModifiedBy>
  <cp:revision>3</cp:revision>
  <dcterms:created xsi:type="dcterms:W3CDTF">2017-05-18T08:16:00Z</dcterms:created>
  <dcterms:modified xsi:type="dcterms:W3CDTF">2017-05-18T08:16:00Z</dcterms:modified>
</cp:coreProperties>
</file>